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90</w:t>
      </w:r>
    </w:p>
    <w:p>
      <w:r>
        <w:t>Bundesgericht (BGE), 2002-10-18, DE</w:t>
      </w:r>
    </w:p>
    <w:p>
      <w:r>
        <w:rPr>
          <w:b/>
        </w:rPr>
        <w:t xml:space="preserve">Quelle: </w:t>
      </w:r>
      <w:r>
        <w:t>https://mcp.opencaselaw.ch/entscheid/bge_129 V 90</w:t>
      </w:r>
    </w:p>
    <w:p>
      <w:r>
        <w:t>FR: ATF 129 V 90</w:t>
      </w:r>
    </w:p>
    <w:p>
      <w:r>
        <w:t>IT: DTF 129 V 90</w:t>
      </w:r>
    </w:p>
    <w:p>
      <w:pPr>
        <w:pStyle w:val="Heading2"/>
      </w:pPr>
      <w:r>
        <w:t>Regeste</w:t>
      </w:r>
    </w:p>
    <w:p>
      <w:r>
        <w:t>Regeste Art. 61 KVG; Art. 163 Abs. 1, Art. 166 Abs. 1 und 3 ZGB: Haftung des einen Ehegatten für Beitragsschulden des andern gegenüber dessen Krankenversicherer. Die solidarische Haftung des für Beitragsschulden belangten Ehegatten im Sinne von Art. 166 Abs. 1 und 3 ZGB tritt nach Einführung der obligatorischen Krankenversicherung ungeachtet dessen ein, ob das der Beitragsforderung zugrunde liegende Versicherungsverhältnis während des ehelichen Zusammenlebens oder im Hinblick auf familiäre Bedürfnisse begründet worden ist (Änderung der Rechtsprechung in BGE 119 V 16).</w:t>
      </w:r>
    </w:p>
    <w:p>
      <w:pPr>
        <w:pStyle w:val="Heading2"/>
      </w:pPr>
      <w:r>
        <w:t>Erwägungen</w:t>
      </w:r>
    </w:p>
    <w:p>
      <w:r>
        <w:rPr>
          <w:b/>
        </w:rPr>
        <w:t>E. 2</w:t>
      </w:r>
    </w:p>
    <w:p>
      <w:r>
        <w:t>Nach Art. 163 Abs. 1 ZGB sorgen die Ehegatten gemeinsam, ein jeder nach seinen Kräften, für den gebührenden Unterhalt der Familie. Gemäss Art. 166 Abs. 1 ZGB vertritt jeder Ehegatte während des Zusammenlebens die eheliche Gemeinschaft für die laufenden Bedürfnisse der Familie. Abs. 3 bestimmt, dass sich jeder Ehegatte durch seine Handlungen persönlich verpflichtet und, soweit diese nicht für Dritte erkennbar über die Vertretungsbefugnis hinausgehen, solidarisch auch den anderen Ehegatten. Nach der geltenden Rechtsprechung gehören der Abschluss der Krankenpflegeversicherung und der Wechsel des Versicherers zu BGE 129 V 90 S. 91 den laufenden Bedürfnissen der Familie im Sinne von Art. 166 Abs. 1 ZGB ( BGE 110 V 312 Erw. 3; RKUV 1993 Nr. K 914 S. 86 Erw. 2b/aa). Die Ehegatten haften daher für die Prämien unabhängig vom Güterstand solidarisch (GEBHARD EUGSTER, Krankenversicherung, in: Schweizerisches Bundesverwaltungsrecht [SBVR], Soziale Sicherheit, Rz 337), wobei die solidarische Haftung nur eintreten kann, sofern das der Beitragsforderung zugrunde liegende Versicherungsverhältnis während des ehelichen Zusammenlebens oder im Hinblick auf familiäre Bedürfnisse begründet worden ist ( BGE 119 V 21 Erw. 4 und 5).</w:t>
      </w:r>
    </w:p>
    <w:p>
      <w:r>
        <w:rPr>
          <w:b/>
        </w:rPr>
        <w:t>E. 3</w:t>
      </w:r>
    </w:p>
    <w:p>
      <w:r>
        <w:t>Das Verwaltungsgericht erkannte, dass die Beschwerdeführerin solidarisch mit ihrem Ehemann für seine ausstehenden Krankenkassenprämien hafte. Dabei ging es davon aus, jede eheliche Gemeinschaft müsse heute mit Kosten für die medizinische Versorgung der Familienmitglieder rechnen. Darunter würden auch die Prämien für die seit dem 1. Januar 1996 obligatorische Krankenversicherung fallen ( Art. 3 KVG ). Nachdem jede Person mit Wohnsitz in der Schweiz versicherungspflichtig sei, habe sie bei Heirat nach dem 1. Januar 1996 ohnehin eine obligatorische Versicherung abgeschlossen. Daher würden die Prämien für die obligatorische Krankenversicherung ungeachtet dessen, ob das der Beitragsforderung zugrunde liegende Versicherungsverhältnis während des ehelichen Zusammenlebens oder im Hinblick auf familiäre Bedürfnisse begründet worden ist, voraussehbare monatliche Auslagen darstellen, die im Budget eines Haushaltes berücksichtigt werden.</w:t>
      </w:r>
    </w:p>
    <w:p>
      <w:r>
        <w:rPr>
          <w:b/>
        </w:rPr>
        <w:t>E. 3.1</w:t>
      </w:r>
    </w:p>
    <w:p>
      <w:r>
        <w:t>Nach herrschender Lehre erfasst der Unterhalt nach Art. 163 Abs. 1 ZGB als Haushaltskosten alle grundlegenden Bedürfnisse, insbesondere auch die Versicherungen (Kranken-, Unfall-, Lebens-, Haftpflichtversicherungen) (HAUSHERR/REUSSER/GEISER, Kommentar zum schweizerischen Privatrecht [Berner Kommentar], Schweizerisches Zivilgesetzbuch, Das Familienrecht: Art. 159-180 ZGB , 2. Aufl., Bern 1999, N 9 zu Art. 163). Zu diesem Unterhaltsbedarf gehören somit die Versicherungen und die Beiträge von Ehefrau und Ehemann an Sozialversicherungen im weitesten Sinn, namentlich die Prämien für Krankenkassen (FRANZ HASENBÖHLER, Kommentar zum Schweizerischen Privatrecht [Basler Kommentar], Zivilgesetzbuch I, Art. 1-359 ZGB , Basel 1996, N 8 und 11 zu Art. 163; BRÄM/HASENBÖHLER, Kommentar zum Schweizerischen Zivilgesetzbuch [Zürcher Kommentar], Das Familienrecht, Die Wirkungen der Ehe im allgemeinen, Art. 159, Art. 163-168 ZGB , 3. Aufl., Zürich 1993, N 34 zu Art. 163; DESCHENAUX/STEINAUER/BADDELEY, Les BGE 129 V 90 S. 92 effets du mariage, Bern 2000,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(HAUSHERR/REUSSER/GEISER, a.a.O., N 16 ff. zu Art. 163 und N 54 zu Art. 166; DESCHENAUX/STEINAUER/BADDELEY, a.a.O, S. 193 N 400 und S. 220 N 473; HAUSHEER/GEISER/KOBEL, Das Eherecht des Schweizerischen Zivilgesetzbuches, Bern 2000, S. 60 N 08.06). Auch die Frage, ob der Abschluss einer Krankenversicherung den laufenden Bedürfnissen der Familie im Sinne von Art. 166 Abs. 1 ZGB zuzuordnen ist, wird nach herrschender Lehre bejaht (HASENBÖHLER, Basler Kommentar, a.a.O., N 7 zu Art. 166; HEGNAUER/BREITSCHMID, Grundriss des Eherechts, 4. Aufl., Bern 2000, S. 191 N 18.07). Der Radius des laufenden Familienbedarfs erstreckt sich namentlich auf die Versicherung der Familienmitglieder bei einer Krankenkasse (BRÄM/HASENBÖHLER, a.a.O., N 39 zu Art. 166). Die Bedürfnisse der Familie nach Art. 166 Abs. 1 ZGB betreffen zwar den Unterhalt gemäss Art. 163 ZGB . Diesem kommt aber eine umfassendere Bedeutung zu ( BGE 119 V 24 f. Erw. 6). So bedeutet der Unterhalt nach Art. 163 ZGB auf alle Fälle die obere Begrenzung für die Bedürfnisse der Familie. Der Abschluss von Versicherungen für die Familienmitglieder (insbesondere Krankenversicherung) und die entsprechenden Prämien gehören daher zu den Bedürfnissen der Familie gemäss Art. 166 ZGB im Sinne der Gewährleistung einer ausreichenden Grundversorgung (HAUSHERR/REUSSER/GEISER, a.a.O,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Basler Kommentar, a.a.O., N 19 zu Art. 166).</w:t>
      </w:r>
    </w:p>
    <w:p>
      <w:r>
        <w:rPr>
          <w:b/>
        </w:rPr>
        <w:t>E. 3.2</w:t>
      </w:r>
    </w:p>
    <w:p>
      <w:r>
        <w:t>Gemäss Vorinstanz würde die Anwendung der in BGE 119 V 16 publizierten Rechtsprechung nach Einführung des Obligatoriums unter Umständen zu einer ungleichen Behandlung der Versicherten BGE 129 V 90 S. 93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 Art. 65 KVG ).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w:t>
      </w:r>
    </w:p>
    <w:p>
      <w:r>
        <w:rPr>
          <w:b/>
        </w:rPr>
        <w:t>E. 3.3</w:t>
      </w:r>
    </w:p>
    <w:p>
      <w:r>
        <w:t>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BGE 129 V 90 S. 94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